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B1B" w:rsidRDefault="00605B1B" w:rsidP="00605B1B">
      <w:pPr>
        <w:spacing w:after="360" w:line="240" w:lineRule="auto"/>
        <w:rPr>
          <w:rFonts w:cstheme="minorHAnsi"/>
          <w:sz w:val="42"/>
          <w:szCs w:val="42"/>
        </w:rPr>
      </w:pPr>
      <w:r>
        <w:rPr>
          <w:rFonts w:eastAsia="Times New Roman" w:cstheme="minorHAnsi"/>
          <w:bCs/>
          <w:smallCaps/>
          <w:color w:val="428D96"/>
          <w:sz w:val="42"/>
          <w:szCs w:val="42"/>
          <w:lang w:eastAsia="cs-CZ"/>
        </w:rPr>
        <w:t xml:space="preserve">Výskyt onemocnění covid-19 u žáka nebo zaměstnance školy </w:t>
      </w:r>
    </w:p>
    <w:p w:rsidR="00605B1B" w:rsidRDefault="00605B1B" w:rsidP="00605B1B">
      <w:pPr>
        <w:pStyle w:val="Odstavecseseznamem"/>
        <w:numPr>
          <w:ilvl w:val="0"/>
          <w:numId w:val="1"/>
        </w:numPr>
        <w:pBdr>
          <w:top w:val="single" w:sz="2" w:space="1" w:color="D9E2F3" w:themeColor="accent5" w:themeTint="33"/>
          <w:left w:val="single" w:sz="2" w:space="4"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rPr>
          <w:rStyle w:val="normaltextrun1"/>
          <w:sz w:val="23"/>
          <w:szCs w:val="23"/>
        </w:rPr>
      </w:pPr>
      <w:r>
        <w:rPr>
          <w:rStyle w:val="normaltextrun1"/>
          <w:rFonts w:cstheme="minorHAnsi"/>
          <w:b/>
          <w:sz w:val="23"/>
          <w:szCs w:val="23"/>
        </w:rPr>
        <w:t xml:space="preserve">Školu v případě výskytu onemocnění zpravidla kontaktuje příslušná KHS. </w:t>
      </w:r>
      <w:r>
        <w:rPr>
          <w:rStyle w:val="normaltextrun1"/>
          <w:rFonts w:cstheme="minorHAnsi"/>
          <w:sz w:val="23"/>
          <w:szCs w:val="23"/>
        </w:rPr>
        <w:t>Ta provádí epidemiologické šetření a sdělí škole další pokyny, popřípadě rozhodne o protiepidemických opatřeních.  V případě, že se ředitel školy dozví o výskytu onemocnění covid-19 dříve, kontaktuje zaměstnance</w:t>
      </w:r>
      <w:r>
        <w:rPr>
          <w:rStyle w:val="normaltextrun1"/>
          <w:rFonts w:ascii="Calibri" w:hAnsi="Calibri" w:cs="Calibri"/>
          <w:sz w:val="23"/>
          <w:szCs w:val="23"/>
        </w:rPr>
        <w:t xml:space="preserve"> protiepidemického odboru nebo odboru hygieny dětí a mladistvých místně příslušné KHS.</w:t>
      </w:r>
      <w:r>
        <w:rPr>
          <w:rStyle w:val="normaltextrun1"/>
          <w:rFonts w:ascii="Calibri" w:hAnsi="Calibri" w:cs="Calibri"/>
          <w:b/>
          <w:sz w:val="23"/>
          <w:szCs w:val="23"/>
        </w:rPr>
        <w:t xml:space="preserve"> </w:t>
      </w:r>
      <w:r>
        <w:rPr>
          <w:rStyle w:val="normaltextrun1"/>
          <w:rFonts w:ascii="Calibri" w:hAnsi="Calibri" w:cs="Calibri"/>
          <w:sz w:val="23"/>
          <w:szCs w:val="23"/>
        </w:rPr>
        <w:t>Seznam kontaktů je uveden na webových stránkách KHS.</w:t>
      </w:r>
    </w:p>
    <w:p w:rsidR="00605B1B" w:rsidRDefault="00605B1B" w:rsidP="00605B1B">
      <w:pPr>
        <w:pStyle w:val="Odstavecseseznamem"/>
        <w:numPr>
          <w:ilvl w:val="0"/>
          <w:numId w:val="1"/>
        </w:numPr>
        <w:pBdr>
          <w:top w:val="single" w:sz="2" w:space="1" w:color="D9E2F3" w:themeColor="accent5" w:themeTint="33"/>
          <w:left w:val="single" w:sz="2" w:space="4"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pPr>
      <w:r>
        <w:rPr>
          <w:rFonts w:cstheme="minorHAnsi"/>
          <w:sz w:val="23"/>
          <w:szCs w:val="23"/>
        </w:rPr>
        <w:t>V případě výskytu onemocnění covid-19 se karanténa týká okruhu osob, které byly v </w:t>
      </w:r>
      <w:r>
        <w:rPr>
          <w:rFonts w:cstheme="minorHAnsi"/>
          <w:b/>
          <w:sz w:val="23"/>
          <w:szCs w:val="23"/>
        </w:rPr>
        <w:t>rizikovém kontaktu</w:t>
      </w:r>
      <w:r>
        <w:rPr>
          <w:rFonts w:cstheme="minorHAnsi"/>
          <w:sz w:val="23"/>
          <w:szCs w:val="23"/>
        </w:rPr>
        <w:t xml:space="preserve">. </w:t>
      </w:r>
      <w:r>
        <w:rPr>
          <w:rFonts w:cstheme="minorHAnsi"/>
          <w:sz w:val="23"/>
          <w:szCs w:val="23"/>
        </w:rPr>
        <w:br/>
        <w:t xml:space="preserve">O okruhu těchto osob rozhoduje příslušná KHS na základě protiepidemického šetření. Při svém rozhodování přihlíží mimo jiné k délce kontaktu, vzdálenosti osob, k zavedeným opatřením atd. Každá situace je jiná, protože každý kolektiv v sobě zahrnuje více proměnných – např. velikost školy, členění objektu </w:t>
      </w:r>
      <w:r>
        <w:rPr>
          <w:rFonts w:cstheme="minorHAnsi"/>
          <w:i/>
          <w:sz w:val="23"/>
          <w:szCs w:val="23"/>
        </w:rPr>
        <w:t>(samostatná budova, pavilony)</w:t>
      </w:r>
      <w:r>
        <w:rPr>
          <w:rFonts w:cstheme="minorHAnsi"/>
          <w:sz w:val="23"/>
          <w:szCs w:val="23"/>
        </w:rPr>
        <w:t>, počet dětí/žáků/studentů ve třídě, způsob školního stravování, pobyt ve školní družině, v zájmových kroužcích, sportovní aktivity, způsob dopravy do školy a především místní epidemiologickou situaci.</w:t>
      </w:r>
    </w:p>
    <w:p w:rsidR="00605B1B" w:rsidRDefault="00605B1B" w:rsidP="00605B1B">
      <w:pPr>
        <w:pStyle w:val="Odstavecseseznamem"/>
        <w:numPr>
          <w:ilvl w:val="0"/>
          <w:numId w:val="1"/>
        </w:numPr>
        <w:pBdr>
          <w:top w:val="single" w:sz="2" w:space="1" w:color="D9E2F3" w:themeColor="accent5" w:themeTint="33"/>
          <w:left w:val="single" w:sz="2" w:space="4" w:color="D9E2F3" w:themeColor="accent5" w:themeTint="33"/>
          <w:bottom w:val="single" w:sz="2" w:space="1" w:color="D9E2F3" w:themeColor="accent5" w:themeTint="33"/>
          <w:right w:val="single" w:sz="2" w:space="4" w:color="D9E2F3" w:themeColor="accent5" w:themeTint="33"/>
        </w:pBdr>
        <w:shd w:val="clear" w:color="auto" w:fill="D9E2F3" w:themeFill="accent5" w:themeFillTint="33"/>
        <w:spacing w:after="40" w:line="240" w:lineRule="auto"/>
        <w:ind w:left="714" w:hanging="357"/>
        <w:jc w:val="both"/>
        <w:rPr>
          <w:rFonts w:cstheme="minorHAnsi"/>
          <w:sz w:val="23"/>
          <w:szCs w:val="23"/>
        </w:rPr>
      </w:pPr>
      <w:r>
        <w:rPr>
          <w:rFonts w:cstheme="minorHAnsi"/>
          <w:b/>
          <w:sz w:val="23"/>
          <w:szCs w:val="23"/>
        </w:rPr>
        <w:t>Škola neprodleně informuje o vzniklé situaci a následných krocích</w:t>
      </w:r>
      <w:r>
        <w:rPr>
          <w:rFonts w:cstheme="minorHAnsi"/>
          <w:sz w:val="23"/>
          <w:szCs w:val="23"/>
        </w:rPr>
        <w:t xml:space="preserve"> v provozu školy stanovených KHS </w:t>
      </w:r>
      <w:r>
        <w:rPr>
          <w:rFonts w:cstheme="minorHAnsi"/>
          <w:sz w:val="23"/>
          <w:szCs w:val="23"/>
        </w:rPr>
        <w:br/>
        <w:t xml:space="preserve">a o případné úpravě způsobu vzdělávání </w:t>
      </w:r>
      <w:r>
        <w:rPr>
          <w:rFonts w:cstheme="minorHAnsi"/>
          <w:b/>
          <w:sz w:val="23"/>
          <w:szCs w:val="23"/>
        </w:rPr>
        <w:t>děti/žáky/studenty, zákonné zástupce nezletilých dětí/žáků/studentů a svého zřizovatele.</w:t>
      </w:r>
    </w:p>
    <w:p w:rsidR="00605B1B" w:rsidRDefault="00605B1B" w:rsidP="00605B1B">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Pr>
      </w:pPr>
      <w:r>
        <w:rPr>
          <w:rStyle w:val="normaltextrun1"/>
          <w:rFonts w:cstheme="minorHAnsi"/>
          <w:b/>
          <w:sz w:val="23"/>
          <w:szCs w:val="23"/>
        </w:rPr>
        <w:t>Škola poskytuje vzdělávání distančním způsobem, pokud je</w:t>
      </w:r>
      <w:r>
        <w:rPr>
          <w:rStyle w:val="normaltextrun1"/>
          <w:rFonts w:cstheme="minorHAnsi"/>
          <w:sz w:val="23"/>
          <w:szCs w:val="23"/>
        </w:rPr>
        <w:t xml:space="preserve"> v důsledku krizových nebo mimořádných opatření </w:t>
      </w:r>
      <w:r>
        <w:rPr>
          <w:rStyle w:val="normaltextrun1"/>
          <w:rFonts w:cstheme="minorHAnsi"/>
          <w:i/>
          <w:sz w:val="23"/>
          <w:szCs w:val="23"/>
        </w:rPr>
        <w:t xml:space="preserve">(například mimořádným opatřením KHS nebo plošným opatřením </w:t>
      </w:r>
      <w:proofErr w:type="spellStart"/>
      <w:r>
        <w:rPr>
          <w:rStyle w:val="spellingerror"/>
          <w:rFonts w:cstheme="minorHAnsi"/>
          <w:i/>
          <w:sz w:val="23"/>
          <w:szCs w:val="23"/>
        </w:rPr>
        <w:t>MZd</w:t>
      </w:r>
      <w:proofErr w:type="spellEnd"/>
      <w:r>
        <w:rPr>
          <w:rStyle w:val="spellingerror"/>
          <w:rFonts w:cstheme="minorHAnsi"/>
          <w:i/>
          <w:sz w:val="23"/>
          <w:szCs w:val="23"/>
        </w:rPr>
        <w:t>)</w:t>
      </w:r>
      <w:r>
        <w:rPr>
          <w:rStyle w:val="normaltextrun1"/>
          <w:rFonts w:cstheme="minorHAnsi"/>
          <w:sz w:val="23"/>
          <w:szCs w:val="23"/>
        </w:rPr>
        <w:t xml:space="preserve"> nebo z důvodu nařízení karantény </w:t>
      </w:r>
      <w:r>
        <w:rPr>
          <w:rStyle w:val="normaltextrun1"/>
          <w:rFonts w:cstheme="minorHAnsi"/>
          <w:b/>
          <w:bCs/>
          <w:sz w:val="23"/>
          <w:szCs w:val="23"/>
        </w:rPr>
        <w:t xml:space="preserve">znemožněna osobní přítomnost ve škole více než poloviny dětí/žáků/studentů </w:t>
      </w:r>
      <w:r>
        <w:rPr>
          <w:rStyle w:val="normaltextrun1"/>
          <w:rFonts w:cstheme="minorHAnsi"/>
          <w:sz w:val="23"/>
          <w:szCs w:val="23"/>
        </w:rPr>
        <w:t xml:space="preserve">alespoň jedné skupiny/třídy/oddělení/kurzu. Povinnost poskytovat tímto způsobem v daných situacích vzdělávání se vztahuje na základní školy, střední školy, konzervatoře, vyšší odborné školy, základní umělecké školy </w:t>
      </w:r>
      <w:r>
        <w:rPr>
          <w:rStyle w:val="normaltextrun1"/>
          <w:rFonts w:cstheme="minorHAnsi"/>
          <w:sz w:val="23"/>
          <w:szCs w:val="23"/>
        </w:rPr>
        <w:br/>
        <w:t xml:space="preserve">a jazykové školy s právem státní jazykové zkoušky. Mateřské školy mají povinnost poskytovat vzdělávání distančním způsobem dětem, pro které je předškolní vzdělávání povinné, za předpokladu, že chybí většina dětí třídy, která je organizována výlučně pro tyto děti, nebo chybí většina těchto dětí z celé mateřské školy nebo z celého odloučeného pracoviště. </w:t>
      </w:r>
      <w:r>
        <w:rPr>
          <w:rStyle w:val="eop"/>
          <w:rFonts w:cstheme="minorHAnsi"/>
          <w:b/>
          <w:sz w:val="23"/>
          <w:szCs w:val="23"/>
        </w:rPr>
        <w:t>P</w:t>
      </w:r>
      <w:r>
        <w:rPr>
          <w:rStyle w:val="normaltextrun1"/>
          <w:rFonts w:cstheme="minorHAnsi"/>
          <w:b/>
          <w:sz w:val="23"/>
          <w:szCs w:val="23"/>
        </w:rPr>
        <w:t xml:space="preserve">rezenční výuka dotčených dětí/žáků/studentů přechází na výuku distančním způsobem </w:t>
      </w:r>
      <w:r>
        <w:rPr>
          <w:rStyle w:val="normaltextrun1"/>
          <w:rFonts w:cstheme="minorHAnsi"/>
          <w:i/>
          <w:sz w:val="23"/>
          <w:szCs w:val="23"/>
        </w:rPr>
        <w:t>(s ohledem na jejich podmínky pro distanční vzdělávání)</w:t>
      </w:r>
      <w:r>
        <w:rPr>
          <w:rStyle w:val="normaltextrun1"/>
          <w:rFonts w:cstheme="minorHAnsi"/>
          <w:b/>
          <w:sz w:val="23"/>
          <w:szCs w:val="23"/>
        </w:rPr>
        <w:t xml:space="preserve">. </w:t>
      </w:r>
      <w:r>
        <w:rPr>
          <w:rStyle w:val="normaltextrun1"/>
          <w:rFonts w:cstheme="minorHAnsi"/>
          <w:sz w:val="23"/>
          <w:szCs w:val="23"/>
        </w:rPr>
        <w:t>Ostatní děti/žáci/studenti, kterých se zákaz nedotkne, pokračují v prezenčním vzdělávání. Preferuje se, aby zároveň zůstávali součástí jedné skupiny.</w:t>
      </w:r>
      <w:r>
        <w:rPr>
          <w:rStyle w:val="Znakapoznpodarou"/>
          <w:rFonts w:cstheme="minorHAnsi"/>
          <w:sz w:val="23"/>
          <w:szCs w:val="23"/>
        </w:rPr>
        <w:footnoteReference w:id="1"/>
      </w:r>
    </w:p>
    <w:p w:rsidR="00605B1B" w:rsidRDefault="00605B1B" w:rsidP="00605B1B">
      <w:pPr>
        <w:pStyle w:val="Odstavecseseznamem"/>
        <w:numPr>
          <w:ilvl w:val="1"/>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Fonts w:cstheme="minorHAnsi"/>
          <w:sz w:val="23"/>
          <w:szCs w:val="23"/>
        </w:rPr>
      </w:pPr>
      <w:r>
        <w:rPr>
          <w:rStyle w:val="normaltextrun1"/>
          <w:rFonts w:cstheme="minorHAnsi"/>
          <w:sz w:val="23"/>
          <w:szCs w:val="23"/>
        </w:rPr>
        <w:t>Žáci a studenti mají povinnost se distančně vzdělávat. U dětí mateřských škol se povinnost týká dětí, pro které je předškolní vzdělávání povinné. Povinnost neplatí pro žáky základní umělecké školy a jazykové školy s právem státní jazykové zkoušky, kteří se zapojují dobrovolně.</w:t>
      </w:r>
    </w:p>
    <w:p w:rsidR="00605B1B" w:rsidRDefault="00605B1B" w:rsidP="00605B1B">
      <w:pPr>
        <w:pStyle w:val="Odstavecseseznamem"/>
        <w:numPr>
          <w:ilvl w:val="1"/>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40" w:line="240" w:lineRule="auto"/>
        <w:jc w:val="both"/>
        <w:rPr>
          <w:rStyle w:val="normaltextrun1"/>
          <w:rFonts w:cstheme="minorHAnsi"/>
          <w:sz w:val="23"/>
          <w:szCs w:val="23"/>
        </w:rPr>
      </w:pPr>
      <w:r>
        <w:rPr>
          <w:rStyle w:val="normaltextrun1"/>
          <w:rFonts w:cstheme="minorHAnsi"/>
          <w:sz w:val="23"/>
          <w:szCs w:val="23"/>
        </w:rPr>
        <w:t>Škola je povinna přizpůsobit distanční vzdělávání včetně hodnocení podmínkám dětí/žáků/studentů.</w:t>
      </w:r>
    </w:p>
    <w:p w:rsidR="00605B1B" w:rsidRDefault="00605B1B" w:rsidP="00605B1B">
      <w:pPr>
        <w:pStyle w:val="Odstavecseseznamem"/>
        <w:numPr>
          <w:ilvl w:val="0"/>
          <w:numId w:val="2"/>
        </w:numPr>
        <w:pBdr>
          <w:top w:val="single" w:sz="2" w:space="1" w:color="FFF2CC" w:themeColor="accent4" w:themeTint="33"/>
          <w:left w:val="single" w:sz="2" w:space="4" w:color="FFF2CC" w:themeColor="accent4" w:themeTint="33"/>
          <w:bottom w:val="single" w:sz="2" w:space="1" w:color="FFF2CC" w:themeColor="accent4" w:themeTint="33"/>
          <w:right w:val="single" w:sz="2" w:space="4" w:color="FFF2CC" w:themeColor="accent4" w:themeTint="33"/>
        </w:pBdr>
        <w:shd w:val="clear" w:color="auto" w:fill="FFF2CC" w:themeFill="accent4" w:themeFillTint="33"/>
        <w:spacing w:after="600" w:line="240" w:lineRule="auto"/>
        <w:ind w:left="714" w:hanging="357"/>
        <w:jc w:val="both"/>
      </w:pPr>
      <w:r>
        <w:rPr>
          <w:rStyle w:val="normaltextrun1"/>
          <w:rFonts w:cstheme="minorHAnsi"/>
          <w:sz w:val="23"/>
          <w:szCs w:val="23"/>
        </w:rPr>
        <w:t>V ostatních případech škola nemá povinnost poskytovat vzdělávání distančním způsobem. Škola pak postupuje obdobně jako v běžné situaci, kdy děti/žáci/studenti nejsou přítomni ve škole. Doporučuje se však, pokud to organizační možnosti školy dovolí, udržovat alespoň částečně distanční vzdělávání dotčených dětí/žáků/studentů, a to na základě jejich dobrovolnosti a s ohledem na jejich individuální podmínky.</w:t>
      </w:r>
      <w:r>
        <w:rPr>
          <w:rStyle w:val="eop"/>
          <w:rFonts w:cstheme="minorHAnsi"/>
          <w:sz w:val="23"/>
          <w:szCs w:val="23"/>
        </w:rPr>
        <w:t> </w:t>
      </w:r>
    </w:p>
    <w:p w:rsidR="007075A8" w:rsidRDefault="007075A8"/>
    <w:sectPr w:rsidR="007075A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D69" w:rsidRDefault="00F27D69" w:rsidP="00605B1B">
      <w:pPr>
        <w:spacing w:after="0" w:line="240" w:lineRule="auto"/>
      </w:pPr>
      <w:r>
        <w:separator/>
      </w:r>
    </w:p>
  </w:endnote>
  <w:endnote w:type="continuationSeparator" w:id="0">
    <w:p w:rsidR="00F27D69" w:rsidRDefault="00F27D69" w:rsidP="00605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mpelGaramondLTPro-Roman">
    <w:altName w:val="Calibri"/>
    <w:panose1 w:val="00000000000000000000"/>
    <w:charset w:val="EE"/>
    <w:family w:val="auto"/>
    <w:notTrueType/>
    <w:pitch w:val="default"/>
    <w:sig w:usb0="00000005" w:usb1="00000000" w:usb2="00000000" w:usb3="00000000" w:csb0="00000002" w:csb1="00000000"/>
  </w:font>
  <w:font w:name="StempelGaramondLTPro-Roman+01">
    <w:altName w:val="Calibr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D69" w:rsidRDefault="00F27D69" w:rsidP="00605B1B">
      <w:pPr>
        <w:spacing w:after="0" w:line="240" w:lineRule="auto"/>
      </w:pPr>
      <w:r>
        <w:separator/>
      </w:r>
    </w:p>
  </w:footnote>
  <w:footnote w:type="continuationSeparator" w:id="0">
    <w:p w:rsidR="00F27D69" w:rsidRDefault="00F27D69" w:rsidP="00605B1B">
      <w:pPr>
        <w:spacing w:after="0" w:line="240" w:lineRule="auto"/>
      </w:pPr>
      <w:r>
        <w:continuationSeparator/>
      </w:r>
    </w:p>
  </w:footnote>
  <w:footnote w:id="1">
    <w:p w:rsidR="00605B1B" w:rsidRDefault="00605B1B" w:rsidP="00605B1B">
      <w:pPr>
        <w:autoSpaceDE w:val="0"/>
        <w:autoSpaceDN w:val="0"/>
        <w:adjustRightInd w:val="0"/>
        <w:spacing w:after="0" w:line="240" w:lineRule="auto"/>
        <w:rPr>
          <w:sz w:val="18"/>
          <w:szCs w:val="18"/>
        </w:rPr>
      </w:pPr>
      <w:r>
        <w:rPr>
          <w:rStyle w:val="Znakapoznpodarou"/>
          <w:sz w:val="18"/>
          <w:szCs w:val="18"/>
        </w:rPr>
        <w:footnoteRef/>
      </w:r>
      <w:r>
        <w:rPr>
          <w:sz w:val="18"/>
          <w:szCs w:val="18"/>
        </w:rPr>
        <w:t xml:space="preserve"> </w:t>
      </w:r>
      <w:r>
        <w:rPr>
          <w:sz w:val="18"/>
          <w:szCs w:val="18"/>
          <w:highlight w:val="yellow"/>
        </w:rPr>
        <w:t xml:space="preserve">Zde uvedená pravidla vycházejí ze zákona č. 349/2020 Sb., </w:t>
      </w:r>
      <w:r>
        <w:rPr>
          <w:rFonts w:ascii="StempelGaramondLTPro-Roman" w:hAnsi="StempelGaramondLTPro-Roman" w:cs="StempelGaramondLTPro-Roman"/>
          <w:sz w:val="17"/>
          <w:szCs w:val="17"/>
          <w:highlight w:val="yellow"/>
        </w:rPr>
        <w:t>kterým se m</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 xml:space="preserve">ní zákon </w:t>
      </w:r>
      <w:r>
        <w:rPr>
          <w:rFonts w:ascii="StempelGaramondLTPro-Roman+01" w:hAnsi="StempelGaramondLTPro-Roman+01" w:cs="StempelGaramondLTPro-Roman+01"/>
          <w:sz w:val="17"/>
          <w:szCs w:val="17"/>
          <w:highlight w:val="yellow"/>
        </w:rPr>
        <w:t>č</w:t>
      </w:r>
      <w:r>
        <w:rPr>
          <w:rFonts w:ascii="StempelGaramondLTPro-Roman" w:hAnsi="StempelGaramondLTPro-Roman" w:cs="StempelGaramondLTPro-Roman"/>
          <w:sz w:val="17"/>
          <w:szCs w:val="17"/>
          <w:highlight w:val="yellow"/>
        </w:rPr>
        <w:t>. 561/2004 Sb., o p</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kolním, základním, st</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edním, vy</w:t>
      </w:r>
      <w:r>
        <w:rPr>
          <w:rFonts w:ascii="StempelGaramondLTPro-Roman+01" w:hAnsi="StempelGaramondLTPro-Roman+01" w:cs="StempelGaramondLTPro-Roman+01"/>
          <w:sz w:val="17"/>
          <w:szCs w:val="17"/>
          <w:highlight w:val="yellow"/>
        </w:rPr>
        <w:t>šš</w:t>
      </w:r>
      <w:r>
        <w:rPr>
          <w:rFonts w:ascii="StempelGaramondLTPro-Roman" w:hAnsi="StempelGaramondLTPro-Roman" w:cs="StempelGaramondLTPro-Roman"/>
          <w:sz w:val="17"/>
          <w:szCs w:val="17"/>
          <w:highlight w:val="yellow"/>
        </w:rPr>
        <w:t>ím odborném a jiném vzd</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lávání (</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kolský zákon), ve zn</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ní pozd</w:t>
      </w:r>
      <w:r>
        <w:rPr>
          <w:rFonts w:ascii="StempelGaramondLTPro-Roman+01" w:hAnsi="StempelGaramondLTPro-Roman+01" w:cs="StempelGaramondLTPro-Roman+01"/>
          <w:sz w:val="17"/>
          <w:szCs w:val="17"/>
          <w:highlight w:val="yellow"/>
        </w:rPr>
        <w:t>ě</w:t>
      </w:r>
      <w:r>
        <w:rPr>
          <w:rFonts w:ascii="StempelGaramondLTPro-Roman" w:hAnsi="StempelGaramondLTPro-Roman" w:cs="StempelGaramondLTPro-Roman"/>
          <w:sz w:val="17"/>
          <w:szCs w:val="17"/>
          <w:highlight w:val="yellow"/>
        </w:rPr>
        <w:t>j</w:t>
      </w:r>
      <w:r>
        <w:rPr>
          <w:rFonts w:ascii="StempelGaramondLTPro-Roman+01" w:hAnsi="StempelGaramondLTPro-Roman+01" w:cs="StempelGaramondLTPro-Roman+01"/>
          <w:sz w:val="17"/>
          <w:szCs w:val="17"/>
          <w:highlight w:val="yellow"/>
        </w:rPr>
        <w:t>š</w:t>
      </w:r>
      <w:r>
        <w:rPr>
          <w:rFonts w:ascii="StempelGaramondLTPro-Roman" w:hAnsi="StempelGaramondLTPro-Roman" w:cs="StempelGaramondLTPro-Roman"/>
          <w:sz w:val="17"/>
          <w:szCs w:val="17"/>
          <w:highlight w:val="yellow"/>
        </w:rPr>
        <w:t>ích p</w:t>
      </w:r>
      <w:r>
        <w:rPr>
          <w:rFonts w:ascii="StempelGaramondLTPro-Roman+01" w:hAnsi="StempelGaramondLTPro-Roman+01" w:cs="StempelGaramondLTPro-Roman+01"/>
          <w:sz w:val="17"/>
          <w:szCs w:val="17"/>
          <w:highlight w:val="yellow"/>
        </w:rPr>
        <w:t>ř</w:t>
      </w:r>
      <w:r>
        <w:rPr>
          <w:rFonts w:ascii="StempelGaramondLTPro-Roman" w:hAnsi="StempelGaramondLTPro-Roman" w:cs="StempelGaramondLTPro-Roman"/>
          <w:sz w:val="17"/>
          <w:szCs w:val="17"/>
          <w:highlight w:val="yellow"/>
        </w:rPr>
        <w:t>edpis</w:t>
      </w:r>
      <w:r>
        <w:rPr>
          <w:rFonts w:ascii="StempelGaramondLTPro-Roman+01" w:hAnsi="StempelGaramondLTPro-Roman+01" w:cs="StempelGaramondLTPro-Roman+01"/>
          <w:sz w:val="17"/>
          <w:szCs w:val="17"/>
          <w:highlight w:val="yellow"/>
        </w:rPr>
        <w:t>ů</w:t>
      </w:r>
      <w:r>
        <w:rPr>
          <w:sz w:val="18"/>
          <w:szCs w:val="18"/>
          <w:highlight w:val="yellow"/>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11DBC"/>
    <w:multiLevelType w:val="hybridMultilevel"/>
    <w:tmpl w:val="F6B2B8EE"/>
    <w:lvl w:ilvl="0" w:tplc="D7A0AD94">
      <w:start w:val="1"/>
      <w:numFmt w:val="bullet"/>
      <w:lvlText w:val="§"/>
      <w:lvlJc w:val="left"/>
      <w:pPr>
        <w:ind w:left="720" w:hanging="360"/>
      </w:pPr>
      <w:rPr>
        <w:rFonts w:ascii="Verdana" w:hAnsi="Verdana" w:hint="default"/>
        <w:b/>
        <w:i w:val="0"/>
        <w:caps/>
        <w:strike w:val="0"/>
        <w:dstrike w:val="0"/>
        <w:vanish w:val="0"/>
        <w:webHidden w:val="0"/>
        <w:color w:val="428D96"/>
        <w:sz w:val="26"/>
        <w:u w:val="none"/>
        <w:effect w:val="none"/>
        <w:vertAlign w:val="baseline"/>
        <w:specVanish w:val="0"/>
      </w:rPr>
    </w:lvl>
    <w:lvl w:ilvl="1" w:tplc="879CD71C">
      <w:numFmt w:val="bullet"/>
      <w:lvlText w:val=""/>
      <w:lvlJc w:val="left"/>
      <w:pPr>
        <w:ind w:left="1440" w:hanging="360"/>
      </w:pPr>
      <w:rPr>
        <w:rFonts w:ascii="Wingdings 2" w:eastAsiaTheme="minorEastAsia" w:hAnsi="Wingdings 2" w:cs="Calibri" w:hint="default"/>
        <w:color w:val="428D96"/>
      </w:rPr>
    </w:lvl>
    <w:lvl w:ilvl="2" w:tplc="9DB6D182">
      <w:start w:val="1"/>
      <w:numFmt w:val="bullet"/>
      <w:lvlText w:val=""/>
      <w:lvlJc w:val="left"/>
      <w:pPr>
        <w:ind w:left="2160" w:hanging="360"/>
      </w:pPr>
      <w:rPr>
        <w:rFonts w:ascii="Symbol" w:hAnsi="Symbol" w:hint="default"/>
        <w:color w:val="auto"/>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F0B632C"/>
    <w:multiLevelType w:val="hybridMultilevel"/>
    <w:tmpl w:val="FE908E12"/>
    <w:lvl w:ilvl="0" w:tplc="492A4992">
      <w:start w:val="1"/>
      <w:numFmt w:val="bullet"/>
      <w:lvlText w:val="I"/>
      <w:lvlJc w:val="left"/>
      <w:pPr>
        <w:ind w:left="720" w:hanging="360"/>
      </w:pPr>
      <w:rPr>
        <w:rFonts w:ascii="Verdana" w:hAnsi="Verdana" w:hint="default"/>
        <w:b/>
        <w:i w:val="0"/>
        <w:caps/>
        <w:strike w:val="0"/>
        <w:dstrike w:val="0"/>
        <w:vanish w:val="0"/>
        <w:webHidden w:val="0"/>
        <w:color w:val="428D96"/>
        <w:sz w:val="26"/>
        <w:u w:val="none"/>
        <w:effect w:val="none"/>
        <w:vertAlign w:val="baseline"/>
        <w:specVanish w:val="0"/>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B1B"/>
    <w:rsid w:val="00605B1B"/>
    <w:rsid w:val="007075A8"/>
    <w:rsid w:val="00F27D6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003DA6B-F338-4700-88B6-6A933625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B1B"/>
    <w:pPr>
      <w:spacing w:line="276" w:lineRule="auto"/>
    </w:pPr>
    <w:rPr>
      <w:rFonts w:eastAsiaTheme="minorEastAsia"/>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05B1B"/>
    <w:pPr>
      <w:ind w:left="720"/>
      <w:contextualSpacing/>
    </w:pPr>
  </w:style>
  <w:style w:type="character" w:styleId="Znakapoznpodarou">
    <w:name w:val="footnote reference"/>
    <w:basedOn w:val="Standardnpsmoodstavce"/>
    <w:uiPriority w:val="99"/>
    <w:semiHidden/>
    <w:unhideWhenUsed/>
    <w:rsid w:val="00605B1B"/>
    <w:rPr>
      <w:vertAlign w:val="superscript"/>
    </w:rPr>
  </w:style>
  <w:style w:type="character" w:customStyle="1" w:styleId="normaltextrun1">
    <w:name w:val="normaltextrun1"/>
    <w:basedOn w:val="Standardnpsmoodstavce"/>
    <w:rsid w:val="00605B1B"/>
  </w:style>
  <w:style w:type="character" w:customStyle="1" w:styleId="spellingerror">
    <w:name w:val="spellingerror"/>
    <w:basedOn w:val="Standardnpsmoodstavce"/>
    <w:rsid w:val="00605B1B"/>
  </w:style>
  <w:style w:type="character" w:customStyle="1" w:styleId="eop">
    <w:name w:val="eop"/>
    <w:basedOn w:val="Standardnpsmoodstavce"/>
    <w:rsid w:val="00605B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19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473</Words>
  <Characters>2795</Characters>
  <Application>Microsoft Office Word</Application>
  <DocSecurity>0</DocSecurity>
  <Lines>23</Lines>
  <Paragraphs>6</Paragraphs>
  <ScaleCrop>false</ScaleCrop>
  <Company>Hewlett-Packard Company</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Mikoška</dc:creator>
  <cp:keywords/>
  <dc:description/>
  <cp:lastModifiedBy/>
  <cp:revision>1</cp:revision>
  <dcterms:created xsi:type="dcterms:W3CDTF">2021-10-31T13:01:00Z</dcterms:created>
</cp:coreProperties>
</file>